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384" w:rsidRPr="00707384" w:rsidRDefault="00707384" w:rsidP="00707384">
      <w:pPr>
        <w:keepNext/>
        <w:pBdr>
          <w:bottom w:val="double" w:sz="4" w:space="1" w:color="auto"/>
        </w:pBdr>
        <w:shd w:val="pct20" w:color="000000" w:fill="FFFFFF"/>
        <w:spacing w:after="0" w:line="240" w:lineRule="auto"/>
        <w:jc w:val="right"/>
        <w:outlineLvl w:val="0"/>
        <w:rPr>
          <w:rFonts w:ascii="Arial Rounded MT Bold" w:eastAsia="Times New Roman" w:hAnsi="Arial Rounded MT Bold" w:cs="Arial Rounded MT Bold"/>
          <w:b/>
          <w:bCs/>
          <w:caps/>
          <w:sz w:val="36"/>
          <w:szCs w:val="24"/>
          <w:lang w:val="fr-FR" w:eastAsia="fr-FR"/>
        </w:rPr>
      </w:pPr>
      <w:bookmarkStart w:id="0" w:name="_Toc461855920"/>
      <w:r w:rsidRPr="00707384">
        <w:rPr>
          <w:rFonts w:ascii="Arial Rounded MT Bold" w:eastAsia="Times New Roman" w:hAnsi="Arial Rounded MT Bold" w:cs="Arial Rounded MT Bold"/>
          <w:b/>
          <w:bCs/>
          <w:caps/>
          <w:sz w:val="36"/>
          <w:szCs w:val="24"/>
          <w:lang w:val="fr-FR" w:eastAsia="fr-FR"/>
        </w:rPr>
        <w:t>FONDEMENTS ECONOMIQUES</w:t>
      </w:r>
      <w:bookmarkEnd w:id="0"/>
      <w:r w:rsidRPr="00707384">
        <w:rPr>
          <w:rFonts w:ascii="Arial Rounded MT Bold" w:eastAsia="Times New Roman" w:hAnsi="Arial Rounded MT Bold" w:cs="Arial Rounded MT Bold"/>
          <w:b/>
          <w:bCs/>
          <w:caps/>
          <w:sz w:val="36"/>
          <w:szCs w:val="24"/>
          <w:lang w:val="fr-FR" w:eastAsia="fr-FR"/>
        </w:rPr>
        <w:t xml:space="preserve"> </w:t>
      </w:r>
      <w:r w:rsidRPr="00707384">
        <w:rPr>
          <w:rFonts w:ascii="Arial Rounded MT Bold" w:eastAsia="Times New Roman" w:hAnsi="Arial Rounded MT Bold" w:cs="Arial Rounded MT Bold"/>
          <w:b/>
          <w:bCs/>
          <w:caps/>
          <w:sz w:val="36"/>
          <w:szCs w:val="24"/>
          <w:lang w:val="fr-FR" w:eastAsia="fr-FR"/>
        </w:rPr>
        <w:br/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1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 xml:space="preserve"> Introduction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1.2 Le capitalisme et le système des prix relatifs. Le coût d’opportunité. Les rendements à l’échelle. Le principe de l’avantage relatif. Le court et le long terme. L’analyse marginale.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2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>Exposition des principes fondamentaux de l’offre et de la demande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2.1 Analyse de la demande et de l’offre : facteurs déterminants. L’équilibre entre l’offre et la demande. Mouvements et déplacements. Le concept de l’élasticité. Introduction à l’offre et la demande agrégée. Théorie de l’offre.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3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>Exposition et évaluation du revenu, des dépenses et de l’épargne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3.1 Les comptes nationaux des revenus et de dépenses. Les méthodes d’évaluation. Les conditions d’équilibre. Le financement des investissements. Les fluctuations économiques.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3.2 Les coûts du chômage, les types de chômage. Le plein-emploi. Les coûts de l’inflation. Les mesures de l’inflation. La </w:t>
      </w:r>
      <w:proofErr w:type="gramStart"/>
      <w:r w:rsidRPr="00707384">
        <w:rPr>
          <w:rFonts w:ascii="Arial" w:eastAsia="Times New Roman" w:hAnsi="Arial" w:cs="Traditional Arabic"/>
          <w:szCs w:val="26"/>
          <w:lang w:val="fr-FR" w:eastAsia="fr-FR"/>
        </w:rPr>
        <w:t>productivité:</w:t>
      </w:r>
      <w:proofErr w:type="gramEnd"/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 principales sources.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4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>Evaluation du revenu d’équilibre et des conditions d’équilibre à deux secteurs</w:t>
      </w:r>
    </w:p>
    <w:p w:rsidR="00707384" w:rsidRPr="00707384" w:rsidRDefault="00707384" w:rsidP="00707384">
      <w:pPr>
        <w:spacing w:after="0" w:line="240" w:lineRule="auto"/>
        <w:ind w:left="426" w:right="567" w:firstLine="294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Le rôle de l’épargne et de l’investissement.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4.1</w:t>
      </w:r>
      <w:r w:rsidRPr="00707384">
        <w:rPr>
          <w:rFonts w:ascii="Arial" w:eastAsia="Times New Roman" w:hAnsi="Arial" w:cs="Traditional Arabic"/>
          <w:szCs w:val="26"/>
          <w:lang w:val="fr-FR" w:eastAsia="fr-FR"/>
        </w:rPr>
        <w:tab/>
        <w:t>L’équilibre par la demande. Le plein emploi. Le principe multiplicateur. Le principe de l’accélérateur. L’instabilité des investissements et du revenu. Les chocs internes et externes.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5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 xml:space="preserve">Evaluation des politiques fiscales. Structures des recettes et des dépenses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ab/>
      </w:r>
    </w:p>
    <w:p w:rsidR="00707384" w:rsidRPr="00707384" w:rsidRDefault="00707384" w:rsidP="00707384">
      <w:pPr>
        <w:spacing w:after="0" w:line="240" w:lineRule="auto"/>
        <w:ind w:firstLine="720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Evaluation de la théorie de l’offre.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5.1</w:t>
      </w:r>
      <w:r w:rsidRPr="00707384">
        <w:rPr>
          <w:rFonts w:ascii="Arial" w:eastAsia="Times New Roman" w:hAnsi="Arial" w:cs="Traditional Arabic"/>
          <w:szCs w:val="26"/>
          <w:lang w:val="fr-FR" w:eastAsia="fr-FR"/>
        </w:rPr>
        <w:tab/>
        <w:t xml:space="preserve">Les politiques fiscales expansionnistes et </w:t>
      </w:r>
      <w:proofErr w:type="spellStart"/>
      <w:r w:rsidRPr="00707384">
        <w:rPr>
          <w:rFonts w:ascii="Arial" w:eastAsia="Times New Roman" w:hAnsi="Arial" w:cs="Traditional Arabic"/>
          <w:szCs w:val="26"/>
          <w:lang w:val="fr-FR" w:eastAsia="fr-FR"/>
        </w:rPr>
        <w:t>contractionnaires</w:t>
      </w:r>
      <w:proofErr w:type="spellEnd"/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 et leurs implications économiques. Evaluation des multiplicateurs des dépenses, de l’impôt et d’un budget équilibré.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5.2</w:t>
      </w:r>
      <w:r w:rsidRPr="00707384">
        <w:rPr>
          <w:rFonts w:ascii="Arial" w:eastAsia="Times New Roman" w:hAnsi="Arial" w:cs="Traditional Arabic"/>
          <w:szCs w:val="26"/>
          <w:lang w:val="fr-FR" w:eastAsia="fr-FR"/>
        </w:rPr>
        <w:tab/>
        <w:t>Les conditions d’équilibre à trois secteurs. La dette : problèmes et conséquences.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lastRenderedPageBreak/>
        <w:t xml:space="preserve">Chapitre 7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 xml:space="preserve"> Evaluation de la monnaie, du système bancaire et de la Banque du Liban</w:t>
      </w:r>
    </w:p>
    <w:p w:rsidR="00707384" w:rsidRPr="00707384" w:rsidRDefault="00707384" w:rsidP="00707384">
      <w:pPr>
        <w:spacing w:after="0" w:line="240" w:lineRule="auto"/>
        <w:ind w:left="426" w:right="567" w:hanging="426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7.1 La monnaie : définitions. La création (destruction) de monnaie, le taux d’escompte. Les réserves légales. Les opérations open </w:t>
      </w:r>
      <w:proofErr w:type="spellStart"/>
      <w:r w:rsidRPr="00707384">
        <w:rPr>
          <w:rFonts w:ascii="Arial" w:eastAsia="Times New Roman" w:hAnsi="Arial" w:cs="Traditional Arabic"/>
          <w:szCs w:val="26"/>
          <w:lang w:val="fr-FR" w:eastAsia="fr-FR"/>
        </w:rPr>
        <w:t>market</w:t>
      </w:r>
      <w:proofErr w:type="spellEnd"/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. “ </w:t>
      </w:r>
      <w:r w:rsidRPr="00707384">
        <w:rPr>
          <w:rFonts w:ascii="Arial" w:eastAsia="Times New Roman" w:hAnsi="Arial" w:cs="Traditional Arabic"/>
          <w:i/>
          <w:iCs/>
          <w:szCs w:val="26"/>
          <w:lang w:val="fr-FR" w:eastAsia="fr-FR"/>
        </w:rPr>
        <w:t>Les objectifs</w:t>
      </w:r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 “ de la Banque du Liban. La monnaie, les taux d’intérêt et le revenu.</w:t>
      </w:r>
    </w:p>
    <w:p w:rsidR="00707384" w:rsidRPr="00707384" w:rsidRDefault="00707384" w:rsidP="00707384">
      <w:pPr>
        <w:spacing w:before="240" w:after="60" w:line="240" w:lineRule="auto"/>
        <w:jc w:val="center"/>
        <w:outlineLvl w:val="0"/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</w:pP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t xml:space="preserve">Chapitre 10 </w:t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u w:val="single"/>
          <w:lang w:val="fr-FR" w:eastAsia="fr-FR"/>
        </w:rPr>
        <w:br/>
      </w:r>
      <w:r w:rsidRPr="00707384">
        <w:rPr>
          <w:rFonts w:ascii="Arial Rounded MT Bold" w:eastAsia="Times New Roman" w:hAnsi="Arial Rounded MT Bold" w:cs="Traditional Arabic"/>
          <w:b/>
          <w:bCs/>
          <w:caps/>
          <w:kern w:val="28"/>
          <w:sz w:val="28"/>
          <w:szCs w:val="38"/>
          <w:lang w:val="fr-FR" w:eastAsia="fr-FR"/>
        </w:rPr>
        <w:t xml:space="preserve">Evaluation de la balance de paiement et des taux de change </w:t>
      </w:r>
    </w:p>
    <w:p w:rsidR="00707384" w:rsidRPr="00707384" w:rsidRDefault="00707384" w:rsidP="00707384">
      <w:pPr>
        <w:spacing w:after="0" w:line="240" w:lineRule="auto"/>
        <w:ind w:firstLine="567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Les politiques de stabilisation.</w:t>
      </w:r>
    </w:p>
    <w:p w:rsidR="00707384" w:rsidRPr="00707384" w:rsidRDefault="00707384" w:rsidP="00707384">
      <w:pPr>
        <w:spacing w:after="0" w:line="240" w:lineRule="auto"/>
        <w:ind w:left="567" w:right="567" w:hanging="567"/>
        <w:jc w:val="lowKashida"/>
        <w:rPr>
          <w:rFonts w:ascii="Arial" w:eastAsia="Times New Roman" w:hAnsi="Arial" w:cs="Traditional Arabic"/>
          <w:szCs w:val="26"/>
          <w:lang w:val="fr-FR" w:eastAsia="fr-FR"/>
        </w:rPr>
      </w:pPr>
      <w:r w:rsidRPr="00707384">
        <w:rPr>
          <w:rFonts w:ascii="Arial" w:eastAsia="Times New Roman" w:hAnsi="Arial" w:cs="Traditional Arabic"/>
          <w:szCs w:val="26"/>
          <w:lang w:val="fr-FR" w:eastAsia="fr-FR"/>
        </w:rPr>
        <w:t>10.1</w:t>
      </w:r>
      <w:r w:rsidRPr="00707384">
        <w:rPr>
          <w:rFonts w:ascii="Arial" w:eastAsia="Times New Roman" w:hAnsi="Arial" w:cs="Traditional Arabic"/>
          <w:szCs w:val="26"/>
          <w:lang w:val="fr-FR" w:eastAsia="fr-FR"/>
        </w:rPr>
        <w:tab/>
        <w:t xml:space="preserve">La balance de </w:t>
      </w:r>
      <w:proofErr w:type="gramStart"/>
      <w:r w:rsidRPr="00707384">
        <w:rPr>
          <w:rFonts w:ascii="Arial" w:eastAsia="Times New Roman" w:hAnsi="Arial" w:cs="Traditional Arabic"/>
          <w:szCs w:val="26"/>
          <w:lang w:val="fr-FR" w:eastAsia="fr-FR"/>
        </w:rPr>
        <w:t>paiements:</w:t>
      </w:r>
      <w:proofErr w:type="gramEnd"/>
      <w:r w:rsidRPr="00707384">
        <w:rPr>
          <w:rFonts w:ascii="Arial" w:eastAsia="Times New Roman" w:hAnsi="Arial" w:cs="Traditional Arabic"/>
          <w:szCs w:val="26"/>
          <w:lang w:val="fr-FR" w:eastAsia="fr-FR"/>
        </w:rPr>
        <w:t xml:space="preserve"> principaux compte. Les taux de change fixes et flottants. Le système étalon-or. Le F.M.I. et l’étalon-or $. Le commerce international.</w:t>
      </w:r>
    </w:p>
    <w:p w:rsidR="00707384" w:rsidRPr="00707384" w:rsidRDefault="00707384" w:rsidP="00707384">
      <w:pPr>
        <w:spacing w:after="0" w:line="240" w:lineRule="auto"/>
        <w:jc w:val="lowKashida"/>
        <w:rPr>
          <w:rFonts w:ascii="Arial" w:eastAsia="Times New Roman" w:hAnsi="Arial" w:cs="Traditional Arabic"/>
          <w:szCs w:val="26"/>
          <w:lang w:val="fr-FR"/>
        </w:rPr>
      </w:pPr>
    </w:p>
    <w:p w:rsidR="000E6804" w:rsidRDefault="000E6804">
      <w:bookmarkStart w:id="1" w:name="_GoBack"/>
      <w:bookmarkEnd w:id="1"/>
    </w:p>
    <w:sectPr w:rsidR="000E68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3F"/>
    <w:rsid w:val="000E6804"/>
    <w:rsid w:val="00634F3F"/>
    <w:rsid w:val="0070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434BF8-0200-4B7E-AA84-83C3221C6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2020-08-03T21:12:00Z</dcterms:created>
  <dcterms:modified xsi:type="dcterms:W3CDTF">2020-08-03T21:13:00Z</dcterms:modified>
</cp:coreProperties>
</file>